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514" w:rsidRPr="00566425" w:rsidRDefault="00231514" w:rsidP="00231514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sz w:val="27"/>
          <w:szCs w:val="27"/>
        </w:rPr>
      </w:pPr>
      <w:r w:rsidRPr="00566425">
        <w:rPr>
          <w:b/>
          <w:bCs/>
          <w:sz w:val="27"/>
          <w:szCs w:val="27"/>
        </w:rPr>
        <w:t>ПРАВИТЕЛЬСТВО РОССИЙСКОЙ ФЕДЕРАЦИИ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sz w:val="27"/>
          <w:szCs w:val="27"/>
        </w:rPr>
      </w:pPr>
      <w:r w:rsidRPr="00566425">
        <w:rPr>
          <w:b/>
          <w:bCs/>
          <w:sz w:val="27"/>
          <w:szCs w:val="27"/>
        </w:rPr>
        <w:t>ПОСТАНОВЛЕНИЕ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sz w:val="27"/>
          <w:szCs w:val="27"/>
        </w:rPr>
      </w:pPr>
      <w:r w:rsidRPr="00566425">
        <w:rPr>
          <w:b/>
          <w:bCs/>
          <w:sz w:val="27"/>
          <w:szCs w:val="27"/>
        </w:rPr>
        <w:t>от 25 декабря 2021 г. № </w:t>
      </w:r>
      <w:r w:rsidRPr="00566425">
        <w:rPr>
          <w:rStyle w:val="bookmark"/>
          <w:b/>
          <w:bCs/>
          <w:sz w:val="27"/>
          <w:szCs w:val="27"/>
          <w:shd w:val="clear" w:color="auto" w:fill="FFFFFF" w:themeFill="background1"/>
        </w:rPr>
        <w:t>2479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c"/>
        <w:shd w:val="clear" w:color="auto" w:fill="FFFFFF"/>
        <w:spacing w:before="90" w:beforeAutospacing="0" w:after="90" w:afterAutospacing="0"/>
        <w:ind w:left="675" w:right="675"/>
        <w:jc w:val="center"/>
        <w:rPr>
          <w:sz w:val="27"/>
          <w:szCs w:val="27"/>
        </w:rPr>
      </w:pPr>
      <w:r w:rsidRPr="00566425">
        <w:rPr>
          <w:sz w:val="27"/>
          <w:szCs w:val="27"/>
        </w:rPr>
        <w:t>МОСКВА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sz w:val="27"/>
          <w:szCs w:val="27"/>
        </w:rPr>
      </w:pPr>
      <w:r w:rsidRPr="00566425">
        <w:rPr>
          <w:b/>
          <w:bCs/>
          <w:sz w:val="27"/>
          <w:szCs w:val="27"/>
        </w:rPr>
        <w:t>Об утверждении Правил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В соответствии со статьей 242</w:t>
      </w:r>
      <w:r w:rsidRPr="00566425">
        <w:rPr>
          <w:rStyle w:val="w9"/>
          <w:sz w:val="17"/>
          <w:szCs w:val="17"/>
        </w:rPr>
        <w:t>22</w:t>
      </w:r>
      <w:r w:rsidRPr="00566425">
        <w:rPr>
          <w:sz w:val="27"/>
          <w:szCs w:val="27"/>
        </w:rPr>
        <w:t> </w:t>
      </w:r>
      <w:hyperlink r:id="rId4" w:tgtFrame="contents" w:history="1">
        <w:r w:rsidRPr="00566425">
          <w:rPr>
            <w:rStyle w:val="cmd"/>
            <w:sz w:val="27"/>
            <w:szCs w:val="27"/>
            <w:u w:val="single"/>
          </w:rPr>
          <w:t>Бюджетного кодекса Российской Федерации</w:t>
        </w:r>
      </w:hyperlink>
      <w:r w:rsidRPr="00566425">
        <w:rPr>
          <w:sz w:val="27"/>
          <w:szCs w:val="27"/>
        </w:rPr>
        <w:t> Правительство Российской Федерации постановляет: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1. Утвердить прилагаемые Правила выдачи (перевода, отзыва) казначейского обеспечения обязательств и сроки проведения органами Федерального казначейства операций с казначейским обеспечением обязательств.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2. Настоящее постановление вступает в силу с 1 января 2022 г.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i"/>
        <w:shd w:val="clear" w:color="auto" w:fill="FFFFFF"/>
        <w:spacing w:before="90" w:beforeAutospacing="0" w:after="90" w:afterAutospacing="0"/>
        <w:ind w:left="675"/>
        <w:rPr>
          <w:sz w:val="27"/>
          <w:szCs w:val="27"/>
        </w:rPr>
      </w:pPr>
      <w:r w:rsidRPr="00566425">
        <w:rPr>
          <w:sz w:val="27"/>
          <w:szCs w:val="27"/>
        </w:rPr>
        <w:t>Председатель Правительства</w:t>
      </w:r>
      <w:r w:rsidRPr="00566425">
        <w:rPr>
          <w:sz w:val="27"/>
          <w:szCs w:val="27"/>
        </w:rPr>
        <w:br/>
        <w:t>Российской Федерации                               </w:t>
      </w:r>
      <w:proofErr w:type="spellStart"/>
      <w:r w:rsidRPr="00566425">
        <w:rPr>
          <w:sz w:val="27"/>
          <w:szCs w:val="27"/>
        </w:rPr>
        <w:t>М.Мишустин</w:t>
      </w:r>
      <w:proofErr w:type="spellEnd"/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s"/>
        <w:shd w:val="clear" w:color="auto" w:fill="FFFFFF" w:themeFill="background1"/>
        <w:spacing w:before="90" w:beforeAutospacing="0" w:after="90" w:afterAutospacing="0"/>
        <w:ind w:left="5100"/>
        <w:jc w:val="center"/>
        <w:rPr>
          <w:sz w:val="27"/>
          <w:szCs w:val="27"/>
        </w:rPr>
      </w:pPr>
      <w:r w:rsidRPr="00566425">
        <w:rPr>
          <w:sz w:val="27"/>
          <w:szCs w:val="27"/>
        </w:rPr>
        <w:t>УТВЕРЖДЕНЫ</w:t>
      </w:r>
      <w:r w:rsidRPr="00566425">
        <w:rPr>
          <w:sz w:val="27"/>
          <w:szCs w:val="27"/>
        </w:rPr>
        <w:br/>
        <w:t>постановлением Правительства</w:t>
      </w:r>
      <w:r w:rsidRPr="00566425">
        <w:rPr>
          <w:sz w:val="27"/>
          <w:szCs w:val="27"/>
        </w:rPr>
        <w:br/>
        <w:t>Российской Федерации</w:t>
      </w:r>
      <w:r w:rsidRPr="00566425">
        <w:rPr>
          <w:sz w:val="27"/>
          <w:szCs w:val="27"/>
        </w:rPr>
        <w:br/>
        <w:t>от 25 декабря 2021 г. № </w:t>
      </w:r>
      <w:r w:rsidRPr="00566425">
        <w:rPr>
          <w:rStyle w:val="bookmark"/>
          <w:sz w:val="27"/>
          <w:szCs w:val="27"/>
          <w:shd w:val="clear" w:color="auto" w:fill="FFFFFF" w:themeFill="background1"/>
        </w:rPr>
        <w:t>2479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t"/>
        <w:shd w:val="clear" w:color="auto" w:fill="FFFFFF"/>
        <w:spacing w:before="90" w:beforeAutospacing="0" w:after="90" w:afterAutospacing="0"/>
        <w:ind w:left="675" w:right="675"/>
        <w:jc w:val="center"/>
        <w:rPr>
          <w:b/>
          <w:bCs/>
          <w:sz w:val="27"/>
          <w:szCs w:val="27"/>
        </w:rPr>
      </w:pPr>
      <w:r w:rsidRPr="00566425">
        <w:rPr>
          <w:b/>
          <w:bCs/>
          <w:sz w:val="27"/>
          <w:szCs w:val="27"/>
        </w:rPr>
        <w:t>ПРАВИЛА</w:t>
      </w:r>
      <w:r w:rsidRPr="00566425">
        <w:rPr>
          <w:b/>
          <w:bCs/>
          <w:sz w:val="27"/>
          <w:szCs w:val="27"/>
        </w:rPr>
        <w:br/>
        <w:t>выдачи (перевода, отзыва) казначейского обеспечения обязательств и сроки проведения органами Федерального казначейства операций с казначейским обеспечением обязательств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1. Настоящие Правила устанавливают порядок выдачи (перевода, отзыва) казначейского обеспечения обязательств, предусмотренного статьей 242</w:t>
      </w:r>
      <w:r w:rsidRPr="00566425">
        <w:rPr>
          <w:rStyle w:val="w9"/>
          <w:sz w:val="17"/>
          <w:szCs w:val="17"/>
        </w:rPr>
        <w:t>22</w:t>
      </w:r>
      <w:r w:rsidRPr="00566425">
        <w:rPr>
          <w:sz w:val="27"/>
          <w:szCs w:val="27"/>
        </w:rPr>
        <w:t> </w:t>
      </w:r>
      <w:hyperlink r:id="rId5" w:tgtFrame="contents" w:history="1">
        <w:r w:rsidRPr="00566425">
          <w:rPr>
            <w:rStyle w:val="cmd"/>
            <w:sz w:val="27"/>
            <w:szCs w:val="27"/>
            <w:u w:val="single"/>
          </w:rPr>
          <w:t>Бюджетного кодекса Российской Федерации</w:t>
        </w:r>
      </w:hyperlink>
      <w:r w:rsidRPr="00566425">
        <w:rPr>
          <w:sz w:val="27"/>
          <w:szCs w:val="27"/>
        </w:rPr>
        <w:t xml:space="preserve">, а также сроки </w:t>
      </w:r>
      <w:r w:rsidRPr="00566425">
        <w:rPr>
          <w:sz w:val="27"/>
          <w:szCs w:val="27"/>
        </w:rPr>
        <w:lastRenderedPageBreak/>
        <w:t>проведения операций с казначейским обеспечением обязательств, вы</w:t>
      </w:r>
      <w:bookmarkStart w:id="0" w:name="_GoBack"/>
      <w:bookmarkEnd w:id="0"/>
      <w:r w:rsidRPr="00566425">
        <w:rPr>
          <w:sz w:val="27"/>
          <w:szCs w:val="27"/>
        </w:rPr>
        <w:t>даваемым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суммы, необходимой для оплаты указанных обязательств, возникающих в случаях, определенных федеральным законом о федеральном бюджете, а также в иных случаях, определенных </w:t>
      </w:r>
      <w:hyperlink r:id="rId6" w:tgtFrame="contents" w:history="1">
        <w:r w:rsidRPr="00566425">
          <w:rPr>
            <w:rStyle w:val="cmd"/>
            <w:sz w:val="27"/>
            <w:szCs w:val="27"/>
            <w:u w:val="single"/>
          </w:rPr>
          <w:t>Бюджетным кодексом Российской Федерации</w:t>
        </w:r>
      </w:hyperlink>
      <w:r w:rsidRPr="00566425">
        <w:rPr>
          <w:sz w:val="27"/>
          <w:szCs w:val="27"/>
        </w:rPr>
        <w:t>, при исполнении предусматривающих условие о применении казначейского обеспечения обязательств: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а) государственных (муниципальных) контрактов о поставке товаров, выполнении работ, оказании услуг (за исключением государственных контрактов в рамках исполнения государственного оборонного заказа, предусмотренных подпунктом 5 статьи 242</w:t>
      </w:r>
      <w:r w:rsidRPr="00566425">
        <w:rPr>
          <w:rStyle w:val="w9"/>
          <w:sz w:val="17"/>
          <w:szCs w:val="17"/>
        </w:rPr>
        <w:t>27</w:t>
      </w:r>
      <w:r w:rsidRPr="00566425">
        <w:rPr>
          <w:sz w:val="27"/>
          <w:szCs w:val="27"/>
        </w:rPr>
        <w:t> </w:t>
      </w:r>
      <w:hyperlink r:id="rId7" w:tgtFrame="contents" w:history="1">
        <w:r w:rsidRPr="00566425">
          <w:rPr>
            <w:rStyle w:val="cmd"/>
            <w:sz w:val="27"/>
            <w:szCs w:val="27"/>
            <w:u w:val="single"/>
          </w:rPr>
          <w:t>Бюджетного кодекса Российской Федерации</w:t>
        </w:r>
      </w:hyperlink>
      <w:r w:rsidRPr="00566425">
        <w:rPr>
          <w:sz w:val="27"/>
          <w:szCs w:val="27"/>
        </w:rPr>
        <w:t>) (далее - государственный (муниципальный) контракт);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 xml:space="preserve">б) иных договоров (соглашений), источником финансового обеспечения </w:t>
      </w:r>
      <w:proofErr w:type="gramStart"/>
      <w:r w:rsidRPr="00566425">
        <w:rPr>
          <w:sz w:val="27"/>
          <w:szCs w:val="27"/>
        </w:rPr>
        <w:t>исполнения</w:t>
      </w:r>
      <w:proofErr w:type="gramEnd"/>
      <w:r w:rsidRPr="00566425">
        <w:rPr>
          <w:sz w:val="27"/>
          <w:szCs w:val="27"/>
        </w:rPr>
        <w:t xml:space="preserve"> которых являются средства соответствующего бюджета бюджетной системы Российской Федерации (далее - договор (соглашение).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2. Территориальный орган Федерального казначейства (далее - территориальный орган) осуществляет выдачу (перевод, отзыв) казначейского обеспечения обязательств при использовании средств, указанных в пункте 1 настоящих Правил (далее - целевые средства), на основании заявлений, предусмотренных настоящим пунктом.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Выдача казначейского обеспечения обязательств осуществляется на основании заявления о выдаче казначейского обеспечения обязательств (далее - заявление о выдаче) юридическому лицу, являющемуся получателем целевых средств (далее - получатель казначейского обеспечения обязательств), представленного получателем бюджетных средств, обязательства которого подлежат исполнению с применением казначейского обеспечения обязательств, в территориальный орган по месту открытия ему лицевого счета получателя бюджетных средств.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Перевод казначейского обеспечения обязательств осуществляется в рамках исполнения договора (контракта), заключенного в целях исполнения государственного (муниципального) контракта и договора (соглашения), условиями которого предусмотрено исполнение этого договора (контракта) с применением казначейского обеспечения обязательств (далее соответственно - контракт, переведенное казначейское обеспечение обязательств), на основании заявления о переводе казначейского обеспечения обязательств, представленного в территориальный орган получателем казначейского обеспечения обязательств по месту открытия ему в территориальном органе лицевого счета, определенного пунктом 6 или 7</w:t>
      </w:r>
      <w:r w:rsidRPr="00566425">
        <w:rPr>
          <w:rStyle w:val="w9"/>
          <w:sz w:val="17"/>
          <w:szCs w:val="17"/>
        </w:rPr>
        <w:t>1</w:t>
      </w:r>
      <w:r w:rsidRPr="00566425">
        <w:rPr>
          <w:sz w:val="27"/>
          <w:szCs w:val="27"/>
        </w:rPr>
        <w:t> статьи 220</w:t>
      </w:r>
      <w:r w:rsidRPr="00566425">
        <w:rPr>
          <w:rStyle w:val="w9"/>
          <w:sz w:val="17"/>
          <w:szCs w:val="17"/>
        </w:rPr>
        <w:t>1</w:t>
      </w:r>
      <w:r w:rsidRPr="00566425">
        <w:rPr>
          <w:sz w:val="27"/>
          <w:szCs w:val="27"/>
        </w:rPr>
        <w:t> </w:t>
      </w:r>
      <w:hyperlink r:id="rId8" w:tgtFrame="contents" w:history="1">
        <w:r w:rsidRPr="00566425">
          <w:rPr>
            <w:rStyle w:val="cmd"/>
            <w:sz w:val="27"/>
            <w:szCs w:val="27"/>
            <w:u w:val="single"/>
          </w:rPr>
          <w:t>Бюджетного кодекса Российской Федерации</w:t>
        </w:r>
      </w:hyperlink>
      <w:r w:rsidRPr="00566425">
        <w:rPr>
          <w:sz w:val="27"/>
          <w:szCs w:val="27"/>
        </w:rPr>
        <w:t> (далее соответственно - лицевой счет, заявление о переводе).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 xml:space="preserve">Отзыв казначейского обеспечения обязательств (переведенного казначейского обеспечения обязательств) осуществляется на основании заявления об отзыве казначейского обеспечения обязательств (заявления об отзыве переведенного казначейского обеспечения обязательств), представленного получателем бюджетных средств (получателем казначейского </w:t>
      </w:r>
      <w:r w:rsidRPr="00566425">
        <w:rPr>
          <w:sz w:val="27"/>
          <w:szCs w:val="27"/>
        </w:rPr>
        <w:lastRenderedPageBreak/>
        <w:t>обеспечения обязательств) в территориальный орган по месту открытия лицевого счета получателя бюджетных средств (лицевого счета) (далее - заявление об отзыве).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3. Условием выдачи (перевода, отзыва) казначейского обеспечения обязательств является наличие в государственном (муниципальном) контракте, договоре (соглашении) и контракте положений о применении казначейского обеспечения обязательств (в случае выдачи или перевода казначейского обеспечения обязательств), а также соответствие: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а) заявления о выдаче - следующим требованиям: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соответствие формы заявления о выдаче форме, утвержденной Федеральным казначейством в соответствии с пунктом 10 настоящих Правил;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наличие открытого получателю казначейского обеспечения обязательств лицевого счета, указанного в заявлении о выдаче;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наличие в заявлении о выдаче идентификатора государственного (муниципального) контракта и договора (соглашения), сформированного в установленном порядке в соответствии с бюджетным законодательством Российской Федерации (далее - идентификатор);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соответствие реквизитов (номер и дата) государственного (муниципального) контракта и договора (соглашения) реквизитам, указанным в заявлении о выдаче;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proofErr w:type="spellStart"/>
      <w:r w:rsidRPr="00566425">
        <w:rPr>
          <w:sz w:val="27"/>
          <w:szCs w:val="27"/>
        </w:rPr>
        <w:t>непревышение</w:t>
      </w:r>
      <w:proofErr w:type="spellEnd"/>
      <w:r w:rsidRPr="00566425">
        <w:rPr>
          <w:sz w:val="27"/>
          <w:szCs w:val="27"/>
        </w:rPr>
        <w:t xml:space="preserve"> суммы, указанной в заявлении о выдаче, над суммой операций по казначейскому обеспечению обязательств, предусмотренной условиями государственного (муниципального) контракта, договора (соглашения) и контракта с учетом ранее осуществленных в соответствии с государственным (муниципальным) контрактом, договором (соглашением) или контрактом операций с казначейским обеспечением обязательств;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proofErr w:type="spellStart"/>
      <w:r w:rsidRPr="00566425">
        <w:rPr>
          <w:sz w:val="27"/>
          <w:szCs w:val="27"/>
        </w:rPr>
        <w:t>непревышение</w:t>
      </w:r>
      <w:proofErr w:type="spellEnd"/>
      <w:r w:rsidRPr="00566425">
        <w:rPr>
          <w:sz w:val="27"/>
          <w:szCs w:val="27"/>
        </w:rPr>
        <w:t xml:space="preserve"> суммы, указанной в заявлении о выдаче, над суммой неиспользованных остатков лимитов бюджетных обязательств по соответствующим бюджетному обязательству и объекту капитального строительства, объекту недвижимого имущества или мероприятию ведомственной программы цифровой трансформации мероприятий государственных органов, направленных на создание, развитие, эксплуатацию или использование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 (далее - мероприятие по информатизации), отраженных на лицевом счете получателя бюджетных средств, с учетом ранее выданных казначейских обеспечений обязательств;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б) заявления о переводе - следующим требованиям: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соответствие формы заявления о переводе форме, утвержденной Федеральным казначейством в соответствии с пунктом 10 настоящих Правил;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наличие открытого получателю казначейского обеспечения обязательств лицевого счета, указанного в заявлении о переводе;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наличие в заявлении о переводе идентификатора;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lastRenderedPageBreak/>
        <w:t>соответствие реквизитов (номер и дата) контракта реквизитам, указанным в заявлении о переводе;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соответствие указанных в заявлении о переводе реквизитов (номер и дата) казначейского обеспечения обязательств, по которому осуществляется перевод, реквизитам имеющегося казначейского обеспечения обязательств, срок действия которого не истек;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proofErr w:type="spellStart"/>
      <w:r w:rsidRPr="00566425">
        <w:rPr>
          <w:sz w:val="27"/>
          <w:szCs w:val="27"/>
        </w:rPr>
        <w:t>непревышение</w:t>
      </w:r>
      <w:proofErr w:type="spellEnd"/>
      <w:r w:rsidRPr="00566425">
        <w:rPr>
          <w:sz w:val="27"/>
          <w:szCs w:val="27"/>
        </w:rPr>
        <w:t xml:space="preserve"> суммы, указанной в заявлении о переводе, над суммой операций по казначейскому обеспечению обязательств, предусмотренных условиями контракта, с учетом ранее осуществленных по этому контракту операций по казначейскому обеспечению обязательств;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proofErr w:type="spellStart"/>
      <w:r w:rsidRPr="00566425">
        <w:rPr>
          <w:sz w:val="27"/>
          <w:szCs w:val="27"/>
        </w:rPr>
        <w:t>непревышение</w:t>
      </w:r>
      <w:proofErr w:type="spellEnd"/>
      <w:r w:rsidRPr="00566425">
        <w:rPr>
          <w:sz w:val="27"/>
          <w:szCs w:val="27"/>
        </w:rPr>
        <w:t xml:space="preserve"> суммы, указанной в заявлении о переводе, над суммой остатка средств по укрупненному коду направления расходования целевых средств, указанному в соответствии со сведениями об операциях с целевыми средствами, сформированными и утвержденными в соответствии с положениями порядка казначейского сопровождения, предусмотренного пунктом 3 статьи 242</w:t>
      </w:r>
      <w:r w:rsidRPr="00566425">
        <w:rPr>
          <w:rStyle w:val="w9"/>
          <w:sz w:val="17"/>
          <w:szCs w:val="17"/>
        </w:rPr>
        <w:t>23</w:t>
      </w:r>
      <w:r w:rsidRPr="00566425">
        <w:rPr>
          <w:sz w:val="27"/>
          <w:szCs w:val="27"/>
        </w:rPr>
        <w:t> </w:t>
      </w:r>
      <w:hyperlink r:id="rId9" w:tgtFrame="contents" w:history="1">
        <w:r w:rsidRPr="00566425">
          <w:rPr>
            <w:rStyle w:val="cmd"/>
            <w:sz w:val="27"/>
            <w:szCs w:val="27"/>
            <w:u w:val="single"/>
          </w:rPr>
          <w:t>Бюджетного кодекса Российской Федерации</w:t>
        </w:r>
      </w:hyperlink>
      <w:r w:rsidRPr="00566425">
        <w:rPr>
          <w:sz w:val="27"/>
          <w:szCs w:val="27"/>
        </w:rPr>
        <w:t> (далее соответственно - правила казначейского сопровождения, сведения);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proofErr w:type="spellStart"/>
      <w:r w:rsidRPr="00566425">
        <w:rPr>
          <w:sz w:val="27"/>
          <w:szCs w:val="27"/>
        </w:rPr>
        <w:t>непревышение</w:t>
      </w:r>
      <w:proofErr w:type="spellEnd"/>
      <w:r w:rsidRPr="00566425">
        <w:rPr>
          <w:sz w:val="27"/>
          <w:szCs w:val="27"/>
        </w:rPr>
        <w:t xml:space="preserve"> суммы, указанной в заявлении о переводе, над суммой неисполненного остатка казначейского обеспечения обязательств (переведенного казначейского обеспечения обязательств) с учетом ранее переведенных казначейских обеспечений обязательств;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proofErr w:type="spellStart"/>
      <w:r w:rsidRPr="00566425">
        <w:rPr>
          <w:sz w:val="27"/>
          <w:szCs w:val="27"/>
        </w:rPr>
        <w:t>непревышение</w:t>
      </w:r>
      <w:proofErr w:type="spellEnd"/>
      <w:r w:rsidRPr="00566425">
        <w:rPr>
          <w:sz w:val="27"/>
          <w:szCs w:val="27"/>
        </w:rPr>
        <w:t xml:space="preserve"> указанного в заявлении срока действия переведенного казначейского обеспечения обязательств над сроком действия казначейского обеспечения обязательств, по которому осуществляется перевод;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в) заявления об отзыве - следующим требованиям: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соответствие формы заявления об отзыве форме, утвержденной Федеральным казначейством в соответствии с пунктом 10 настоящих Правил;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наличие в заявлении об отзыве идентификатора;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реквизиты казначейского обеспечения обязательств (переведенного казначейского обеспечения обязательств), указанные в заявлении об отзыве, соответствуют реквизитам ранее выданного казначейского обеспечения обязательств (переведенного казначейского обеспечения обязательств), полностью или частично неисполненного на дату представления заявления об отзыве.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4. Территориальный орган осуществляет проверку информации о государственных (муниципальных) контрактах, договорах (соглашениях) и контрактах в соответствии с пунктом 3 настоящих Правил на основании данных, содержащихся в государственной интегрированной информационной системе управления общественными финансами "Электронный бюджет".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 xml:space="preserve">5. Территориальный орган в случае несоответствия заявления о выдаче, заявления о переводе и заявления об отзыве требованиям, указанным в пункте 3 настоящих Правил, не позднее 2-го рабочего дня после дня получения соответствующего заявления возвращает его без исполнения соответственно </w:t>
      </w:r>
      <w:r w:rsidRPr="00566425">
        <w:rPr>
          <w:sz w:val="27"/>
          <w:szCs w:val="27"/>
        </w:rPr>
        <w:lastRenderedPageBreak/>
        <w:t>получателю бюджетных средств, получателю казначейского обеспечения обязательств (юридическому лицу, являющемуся исполнителем по контракту (далее - получатель переведенного казначейского обеспечения обязательств), представившему указанное заявление.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6. В случае положительных результатов проверок, предусмотренных пунктом 4 настоящих Правил, территориальный орган не позднее 2-го рабочего дня после дня получения: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а) заявления о выдаче: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формирует казначейское обеспечение обязательств на указанную в нем сумму;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осуществляет блокировку лимитов бюджетных обязательств по соответствующему бюджетному обязательству и уникальному коду объекта капитального строительства, объекта недвижимого имущества (далее - уникальный код объекта), коду мероприятия по информатизации, отраженных на лицевом счете получателя бюджетных средств, на сумму казначейского обеспечения обязательств;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направляет казначейское обеспечение обязательств в территориальный орган по месту открытия получателю казначейского обеспечения обязательств лицевого счета;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б) заявления о переводе: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формирует переведенное казначейское обеспечение обязательств на указанную в нем сумму;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осуществляет блокировку остатка средств по укрупненному коду направления расходования целевых средств, указанному в сведениях;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направляет переведенное казначейское обеспечение обязательств в территориальный орган по месту открытия лицевого счета получателю переведенного казначейского обеспечения обязательств, указанного в заявлении о переводе;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направляет копию переведенного казначейского обеспечения обязательств в территориальный орган по месту открытия лицевого счета получателя бюджетных средств;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в) заявления об отзыве: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осуществляет отмену блокировки лимитов бюджетных обязательств по соответствующим бюджетному обязательству и уникальному коду объекта (коду мероприятия по информатизации) на лицевом счете получателя бюджетных средств на сумму остатка отозванного казначейского обеспечения обязательств (переведенного казначейского обеспечения обязательств);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осуществляет отзыв всех неисполненных переведенных казначейских обеспечений обязательств, перевод которых осуществлялся в рамках отзываемого казначейского обеспечения обязательств (переведенного казначейского обеспечения обязательств);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lastRenderedPageBreak/>
        <w:t>возвращает получателям казначейского обеспечения обязательств (получателям переведенного казначейского обеспечения обязательств) ранее принятые, но не исполненные заявления о переводе;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возвращает получателям казначейского обеспечения обязательства (получателям переведенного казначейского обеспечения обязательств) распоряжения о совершении казначейского платежа (далее - распоряжение) на оплату обязательств, исполнение которых обеспечивается отзываемым казначейским обеспечением обязательств (переведенным казначейским обеспечением обязательств);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направляет копию заявления об отзыве в территориальный орган по месту открытия лицевого счета получателя бюджетных средств.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7. 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казначейского сопровождения, предусматривают следующие условия, содержащиеся в государственных (муниципальных) контрактах, договорах (соглашениях) и контрактах: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проведение операций с целевыми средствами в пределах суммы неисполненного остатка казначейского обеспечения обязательства (переведенного казначейского обеспечения обязательств), отраженного на лицевом счете получателя бюджетных средств (лицевом счете);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проведение операций с целевыми средствами до истечения срока действия казначейского обеспечения обязательств (переведенного казначейского обеспечения обязательств), исполнение которого осуществляется на момент представления распоряжения.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8. Территориальный орган не позднее рабочего дня, следующего за днем приема распоряжения, формирует заявление об исполнении казначейского обеспечения обязательств по форме, утвержденной Федеральным казначейством в соответствии с пунктом 10 настоящих Правил (далее - заявление об исполнении), на сумму распоряжения и направляет заявление об исполнении в территориальный орган, осуществивший выдачу казначейского обеспечения обязательств.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9. Отзыв казначейского обеспечения обязательств по истечении срока его действия осуществляется территориальным органом без наличия заявления об отзыве получателя бюджетных средств, получателя казначейского обеспечения обязательств (получателя переведенного казначейского обеспечения обязательств).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10. Формы казначейского обеспечения обязательств, заявления о выдаче, заявления о переводе, заявления об отзыве, заявления об исполнении и иных документов, применяемые при выдаче (переводе, отзыве) и иных операциях с казначейским обеспечением обязательств, а также порядок их заполнения устанавливаются Федеральным казначейством.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 xml:space="preserve">11. При выдаче (переводе, отзыве) и иных операциях с казначейским обеспечением обязательств взаимодействие и обмен информацией между территориальным органом, получателем бюджетных средств и получателем </w:t>
      </w:r>
      <w:r w:rsidRPr="00566425">
        <w:rPr>
          <w:sz w:val="27"/>
          <w:szCs w:val="27"/>
        </w:rPr>
        <w:lastRenderedPageBreak/>
        <w:t>казначейского обеспечения обязательств определяются порядком, установленным Федеральным казначейством.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a3"/>
        <w:shd w:val="clear" w:color="auto" w:fill="FFFFFF"/>
        <w:spacing w:before="90" w:beforeAutospacing="0" w:after="90" w:afterAutospacing="0"/>
        <w:ind w:firstLine="675"/>
        <w:jc w:val="both"/>
        <w:rPr>
          <w:sz w:val="27"/>
          <w:szCs w:val="27"/>
        </w:rPr>
      </w:pPr>
      <w:r w:rsidRPr="00566425">
        <w:rPr>
          <w:sz w:val="27"/>
          <w:szCs w:val="27"/>
        </w:rPr>
        <w:t> </w:t>
      </w:r>
    </w:p>
    <w:p w:rsidR="00231514" w:rsidRPr="00566425" w:rsidRDefault="00231514" w:rsidP="00231514">
      <w:pPr>
        <w:pStyle w:val="c"/>
        <w:shd w:val="clear" w:color="auto" w:fill="FFFFFF"/>
        <w:spacing w:before="90" w:beforeAutospacing="0" w:after="90" w:afterAutospacing="0"/>
        <w:ind w:left="675" w:right="675"/>
        <w:jc w:val="center"/>
        <w:rPr>
          <w:sz w:val="27"/>
          <w:szCs w:val="27"/>
        </w:rPr>
      </w:pPr>
      <w:r w:rsidRPr="00566425">
        <w:rPr>
          <w:sz w:val="27"/>
          <w:szCs w:val="27"/>
        </w:rPr>
        <w:t>____________</w:t>
      </w:r>
    </w:p>
    <w:p w:rsidR="00A15AF2" w:rsidRPr="00566425" w:rsidRDefault="00A15AF2"/>
    <w:sectPr w:rsidR="00A15AF2" w:rsidRPr="00566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AF2"/>
    <w:rsid w:val="00231514"/>
    <w:rsid w:val="00536E91"/>
    <w:rsid w:val="00566425"/>
    <w:rsid w:val="00A15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3B3DC8-4564-4016-A1D8-3F81C858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">
    <w:name w:val="t"/>
    <w:basedOn w:val="a"/>
    <w:rsid w:val="00231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31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okmark">
    <w:name w:val="bookmark"/>
    <w:basedOn w:val="a0"/>
    <w:rsid w:val="00231514"/>
  </w:style>
  <w:style w:type="paragraph" w:customStyle="1" w:styleId="c">
    <w:name w:val="c"/>
    <w:basedOn w:val="a"/>
    <w:rsid w:val="00231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9">
    <w:name w:val="w9"/>
    <w:basedOn w:val="a0"/>
    <w:rsid w:val="00231514"/>
  </w:style>
  <w:style w:type="character" w:customStyle="1" w:styleId="cmd">
    <w:name w:val="cmd"/>
    <w:basedOn w:val="a0"/>
    <w:rsid w:val="00231514"/>
  </w:style>
  <w:style w:type="paragraph" w:customStyle="1" w:styleId="i">
    <w:name w:val="i"/>
    <w:basedOn w:val="a"/>
    <w:rsid w:val="00231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">
    <w:name w:val="s"/>
    <w:basedOn w:val="a"/>
    <w:rsid w:val="00231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3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602676417&amp;backlink=1&amp;&amp;nd=10205472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prevDoc=602676417&amp;backlink=1&amp;&amp;nd=10205472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602676417&amp;backlink=1&amp;&amp;nd=102054721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pravo.gov.ru/proxy/ips/?docbody=&amp;prevDoc=602676417&amp;backlink=1&amp;&amp;nd=10205472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pravo.gov.ru/proxy/ips/?docbody=&amp;prevDoc=602676417&amp;backlink=1&amp;&amp;nd=102054721" TargetMode="External"/><Relationship Id="rId9" Type="http://schemas.openxmlformats.org/officeDocument/2006/relationships/hyperlink" Target="http://pravo.gov.ru/proxy/ips/?docbody=&amp;prevDoc=602676417&amp;backlink=1&amp;&amp;nd=1020547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2299</Words>
  <Characters>13108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Измайлова Дина Федоровна</dc:creator>
  <cp:keywords/>
  <dc:description/>
  <cp:lastModifiedBy>Паршина Ирина Владимировна</cp:lastModifiedBy>
  <cp:revision>3</cp:revision>
  <dcterms:created xsi:type="dcterms:W3CDTF">2022-03-01T11:51:00Z</dcterms:created>
  <dcterms:modified xsi:type="dcterms:W3CDTF">2022-03-01T16:30:00Z</dcterms:modified>
</cp:coreProperties>
</file>